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1B3357" w:rsidP="00CF1133">
      <w:pPr>
        <w:ind w:left="-710" w:firstLine="695"/>
        <w:rPr>
          <w:b/>
          <w:bCs/>
        </w:rPr>
      </w:pPr>
    </w:p>
    <w:p w:rsidR="00CF1133" w:rsidRDefault="001D10F6" w:rsidP="00CF1133">
      <w:pPr>
        <w:ind w:left="-710" w:firstLine="695"/>
      </w:pPr>
      <w:r>
        <w:rPr>
          <w:b/>
          <w:bCs/>
        </w:rPr>
        <w:t xml:space="preserve">Lancashire Enterprise Partnership Limited  </w:t>
      </w:r>
    </w:p>
    <w:p w:rsidR="00CF1133" w:rsidRPr="00BC4466" w:rsidRDefault="001D10F6" w:rsidP="00CF1133">
      <w:pPr>
        <w:spacing w:after="0" w:line="256" w:lineRule="auto"/>
        <w:ind w:left="0" w:firstLine="0"/>
        <w:rPr>
          <w:b/>
          <w:bCs/>
        </w:rPr>
      </w:pPr>
      <w:r w:rsidRPr="00BC4466">
        <w:rPr>
          <w:b/>
          <w:bCs/>
        </w:rPr>
        <w:t xml:space="preserve"> </w:t>
      </w:r>
    </w:p>
    <w:p w:rsidR="00BC4466" w:rsidRPr="00BC4466" w:rsidRDefault="001D10F6" w:rsidP="00CF1133">
      <w:pPr>
        <w:spacing w:after="0" w:line="256" w:lineRule="auto"/>
        <w:ind w:left="0" w:firstLine="0"/>
        <w:rPr>
          <w:b/>
          <w:bCs/>
        </w:rPr>
      </w:pPr>
      <w:r w:rsidRPr="00BC4466">
        <w:rPr>
          <w:b/>
        </w:rPr>
        <w:t xml:space="preserve">Private and Confidential: </w:t>
      </w:r>
      <w:r>
        <w:rPr>
          <w:b/>
        </w:rPr>
        <w:t>No</w:t>
      </w:r>
    </w:p>
    <w:p w:rsidR="00BC4466" w:rsidRDefault="001B3357" w:rsidP="00CF1133">
      <w:pPr>
        <w:spacing w:after="0" w:line="256" w:lineRule="auto"/>
        <w:ind w:left="0" w:firstLine="0"/>
      </w:pPr>
    </w:p>
    <w:p w:rsidR="00A3358A" w:rsidRDefault="001D10F6" w:rsidP="00A3358A">
      <w:r w:rsidRPr="005D0C06">
        <w:rPr>
          <w:b/>
        </w:rPr>
        <w:t>Date:</w:t>
      </w:r>
      <w:r>
        <w:t xml:space="preserve"> </w:t>
      </w:r>
      <w:fldSimple w:instr=" DOCPROPERTY  MeetingDate  \* MERGEFORMAT ">
        <w:r>
          <w:t>Tuesday, 25 June 2019</w:t>
        </w:r>
      </w:fldSimple>
    </w:p>
    <w:p w:rsidR="00A3358A" w:rsidRDefault="001B3357" w:rsidP="00A3358A"/>
    <w:p w:rsidR="00A3358A" w:rsidRDefault="001D10F6"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Lancashire's Local Industrial Strategy</w:t>
      </w:r>
      <w:r>
        <w:rPr>
          <w:rFonts w:eastAsia="Times New Roman" w:cs="Times New Roman"/>
          <w:b/>
          <w:color w:val="auto"/>
          <w:szCs w:val="20"/>
        </w:rPr>
        <w:fldChar w:fldCharType="end"/>
      </w:r>
    </w:p>
    <w:p w:rsidR="00D7480F" w:rsidRDefault="001B3357" w:rsidP="00CF1133">
      <w:pPr>
        <w:spacing w:after="0" w:line="256" w:lineRule="auto"/>
        <w:ind w:left="0" w:firstLine="0"/>
      </w:pPr>
      <w:r>
        <w:t>(Appendix 'A' refers)</w:t>
      </w:r>
    </w:p>
    <w:p w:rsidR="001B3357" w:rsidRDefault="001B3357" w:rsidP="00CF1133">
      <w:pPr>
        <w:spacing w:after="0" w:line="256" w:lineRule="auto"/>
        <w:ind w:left="0" w:firstLine="0"/>
      </w:pPr>
    </w:p>
    <w:p w:rsidR="00F41096" w:rsidRPr="001B3357" w:rsidRDefault="001D10F6" w:rsidP="001B3357">
      <w:pPr>
        <w:ind w:left="0" w:right="-873" w:firstLine="0"/>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w:t>
      </w:r>
      <w:r w:rsidR="001B3357">
        <w:rPr>
          <w:b/>
        </w:rPr>
        <w:t xml:space="preserve"> Head of Service – Business Growth</w:t>
      </w:r>
      <w:r w:rsidR="001B3357">
        <w:rPr>
          <w:b/>
        </w:rPr>
        <w:br/>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rsidR="00CF1133" w:rsidRDefault="001D10F6" w:rsidP="00CF1133">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56FCE" w:rsidTr="00841251">
        <w:tc>
          <w:tcPr>
            <w:tcW w:w="9180" w:type="dxa"/>
          </w:tcPr>
          <w:p w:rsidR="00F95C8B" w:rsidRDefault="001B3357" w:rsidP="00841251">
            <w:pPr>
              <w:pStyle w:val="Header"/>
            </w:pPr>
          </w:p>
          <w:p w:rsidR="00F95C8B" w:rsidRPr="00F95C8B" w:rsidRDefault="001D10F6" w:rsidP="00841251">
            <w:pPr>
              <w:pStyle w:val="Heading6"/>
              <w:rPr>
                <w:rFonts w:ascii="Arial" w:hAnsi="Arial"/>
                <w:b/>
                <w:color w:val="auto"/>
              </w:rPr>
            </w:pPr>
            <w:r w:rsidRPr="00F95C8B">
              <w:rPr>
                <w:rFonts w:ascii="Arial" w:hAnsi="Arial"/>
                <w:b/>
                <w:color w:val="auto"/>
              </w:rPr>
              <w:t>Executive Summary</w:t>
            </w:r>
          </w:p>
          <w:p w:rsidR="00F95C8B" w:rsidRPr="00F95C8B" w:rsidRDefault="001B3357" w:rsidP="00841251">
            <w:pPr>
              <w:rPr>
                <w:color w:val="auto"/>
              </w:rPr>
            </w:pPr>
          </w:p>
          <w:p w:rsidR="00F95C8B" w:rsidRPr="00F95C8B" w:rsidRDefault="001D10F6" w:rsidP="001D10F6">
            <w:pPr>
              <w:ind w:left="0" w:firstLine="0"/>
              <w:jc w:val="both"/>
              <w:rPr>
                <w:color w:val="auto"/>
              </w:rPr>
            </w:pPr>
            <w:r>
              <w:rPr>
                <w:color w:val="auto"/>
              </w:rPr>
              <w:t>Further to the Local Industrial Strategy (LIS) update reports presented at the last two LEP Board meetings, this report provides LEP Board Members with an update on LIS development work since 1</w:t>
            </w:r>
            <w:r w:rsidRPr="001D10F6">
              <w:rPr>
                <w:color w:val="auto"/>
                <w:vertAlign w:val="superscript"/>
              </w:rPr>
              <w:t>st</w:t>
            </w:r>
            <w:r>
              <w:rPr>
                <w:color w:val="auto"/>
              </w:rPr>
              <w:t xml:space="preserve"> May 2019 and provides context for the accompanying presentation from Steer Economic Development, who will share their thoughts on the emerging strategic priorities for Lancashire.  </w:t>
            </w:r>
          </w:p>
          <w:p w:rsidR="00F95C8B" w:rsidRDefault="001B3357" w:rsidP="001D10F6">
            <w:pPr>
              <w:jc w:val="both"/>
              <w:rPr>
                <w:color w:val="auto"/>
              </w:rPr>
            </w:pPr>
          </w:p>
          <w:p w:rsidR="002214B2" w:rsidRDefault="001D10F6" w:rsidP="001D10F6">
            <w:pPr>
              <w:ind w:left="34" w:firstLine="0"/>
              <w:jc w:val="both"/>
              <w:rPr>
                <w:color w:val="auto"/>
              </w:rPr>
            </w:pPr>
            <w:r>
              <w:rPr>
                <w:color w:val="auto"/>
              </w:rPr>
              <w:t>The report details progress to date, the developing approach to consultation and the emerging best practice from other areas such as the LIS trailblazers.</w:t>
            </w:r>
          </w:p>
          <w:p w:rsidR="003D4AEA" w:rsidRPr="00F95C8B" w:rsidRDefault="001B3357" w:rsidP="00841251">
            <w:pPr>
              <w:rPr>
                <w:color w:val="auto"/>
              </w:rPr>
            </w:pPr>
          </w:p>
          <w:p w:rsidR="00F95C8B" w:rsidRPr="00F95C8B" w:rsidRDefault="001D10F6" w:rsidP="00841251">
            <w:pPr>
              <w:pStyle w:val="Heading5"/>
              <w:rPr>
                <w:rFonts w:ascii="Arial" w:hAnsi="Arial"/>
                <w:b/>
                <w:color w:val="auto"/>
              </w:rPr>
            </w:pPr>
            <w:r w:rsidRPr="00F95C8B">
              <w:rPr>
                <w:rFonts w:ascii="Arial" w:hAnsi="Arial"/>
                <w:b/>
                <w:color w:val="auto"/>
              </w:rPr>
              <w:t>Recommendation</w:t>
            </w:r>
          </w:p>
          <w:p w:rsidR="00F95C8B" w:rsidRPr="00F95C8B" w:rsidRDefault="001B3357" w:rsidP="00841251">
            <w:pPr>
              <w:rPr>
                <w:color w:val="auto"/>
              </w:rPr>
            </w:pPr>
          </w:p>
          <w:p w:rsidR="00F95C8B" w:rsidRDefault="001D10F6" w:rsidP="00841251">
            <w:pPr>
              <w:rPr>
                <w:color w:val="auto"/>
              </w:rPr>
            </w:pPr>
            <w:r>
              <w:rPr>
                <w:color w:val="auto"/>
              </w:rPr>
              <w:t>The Lancashire Enterprise Partnership Board is are asked to:-</w:t>
            </w:r>
          </w:p>
          <w:p w:rsidR="003D4AEA" w:rsidRDefault="001B3357" w:rsidP="00841251">
            <w:pPr>
              <w:rPr>
                <w:color w:val="auto"/>
              </w:rPr>
            </w:pPr>
          </w:p>
          <w:p w:rsidR="003D4AEA" w:rsidRDefault="001D10F6" w:rsidP="001D10F6">
            <w:pPr>
              <w:pStyle w:val="ListParagraph"/>
              <w:numPr>
                <w:ilvl w:val="0"/>
                <w:numId w:val="4"/>
              </w:numPr>
              <w:jc w:val="both"/>
              <w:rPr>
                <w:color w:val="auto"/>
              </w:rPr>
            </w:pPr>
            <w:r w:rsidRPr="001D10F6">
              <w:rPr>
                <w:color w:val="auto"/>
              </w:rPr>
              <w:t>Note the report and presentation provided and contribute to the development of strategic priorities for Lancashire.</w:t>
            </w:r>
          </w:p>
          <w:p w:rsidR="001B3357" w:rsidRPr="001D10F6" w:rsidRDefault="001B3357" w:rsidP="001B3357">
            <w:pPr>
              <w:pStyle w:val="ListParagraph"/>
              <w:ind w:firstLine="0"/>
              <w:jc w:val="both"/>
              <w:rPr>
                <w:color w:val="auto"/>
              </w:rPr>
            </w:pPr>
          </w:p>
          <w:p w:rsidR="003D4AEA" w:rsidRPr="003D4AEA" w:rsidRDefault="001D10F6" w:rsidP="001D10F6">
            <w:pPr>
              <w:pStyle w:val="ListParagraph"/>
              <w:numPr>
                <w:ilvl w:val="0"/>
                <w:numId w:val="4"/>
              </w:numPr>
              <w:jc w:val="both"/>
              <w:rPr>
                <w:color w:val="auto"/>
              </w:rPr>
            </w:pPr>
            <w:r>
              <w:rPr>
                <w:color w:val="auto"/>
              </w:rPr>
              <w:t xml:space="preserve">Consider how they might individually be able to support policy development and consultation activity through professional networks or through supporting wider engagement events. </w:t>
            </w:r>
          </w:p>
          <w:p w:rsidR="00F95C8B" w:rsidRDefault="001B3357" w:rsidP="00841251"/>
        </w:tc>
      </w:tr>
    </w:tbl>
    <w:p w:rsidR="00A3358A" w:rsidRDefault="001B3357" w:rsidP="00CF1133">
      <w:pPr>
        <w:spacing w:after="0" w:line="256" w:lineRule="auto"/>
        <w:ind w:left="0" w:firstLine="0"/>
      </w:pPr>
    </w:p>
    <w:p w:rsidR="00A3358A" w:rsidRDefault="001D10F6" w:rsidP="00A3358A">
      <w:pPr>
        <w:rPr>
          <w:b/>
        </w:rPr>
      </w:pPr>
      <w:r>
        <w:rPr>
          <w:b/>
        </w:rPr>
        <w:t>LIS Development – Progress to date</w:t>
      </w:r>
    </w:p>
    <w:p w:rsidR="002214B2" w:rsidRDefault="001B3357" w:rsidP="002214B2"/>
    <w:p w:rsidR="0035550E" w:rsidRDefault="001D10F6" w:rsidP="001D10F6">
      <w:pPr>
        <w:pStyle w:val="ListParagraph"/>
        <w:numPr>
          <w:ilvl w:val="1"/>
          <w:numId w:val="8"/>
        </w:numPr>
        <w:ind w:left="567" w:hanging="567"/>
        <w:jc w:val="both"/>
      </w:pPr>
      <w:r>
        <w:t>Since the last Board on 1</w:t>
      </w:r>
      <w:r w:rsidRPr="00612505">
        <w:rPr>
          <w:vertAlign w:val="superscript"/>
        </w:rPr>
        <w:t>st</w:t>
      </w:r>
      <w:r>
        <w:t xml:space="preserve"> May a considerable amount of work has been done to develop, collate and verify an evidence base which describes the strengths and weaknesses of the Lancashire economy.  In addition to a considerable body of desk research, this process has also included the initial consultation activities on the Lancashire LIS. (see Table 1. below)  There is also greater clarity on how government wants to engage and co-design activities within the LIS, bringing with it its own deadlines and requirements which need to be built into the LIS development plan.</w:t>
      </w:r>
    </w:p>
    <w:p w:rsidR="00A5321E" w:rsidRPr="0049266A" w:rsidRDefault="001D10F6" w:rsidP="001D10F6">
      <w:pPr>
        <w:pStyle w:val="ListParagraph"/>
        <w:ind w:left="567" w:firstLine="0"/>
        <w:jc w:val="both"/>
      </w:pPr>
      <w:r>
        <w:lastRenderedPageBreak/>
        <w:br/>
      </w:r>
    </w:p>
    <w:tbl>
      <w:tblPr>
        <w:tblStyle w:val="TableGrid"/>
        <w:tblW w:w="0" w:type="auto"/>
        <w:tblInd w:w="137" w:type="dxa"/>
        <w:tblLook w:val="04A0" w:firstRow="1" w:lastRow="0" w:firstColumn="1" w:lastColumn="0" w:noHBand="0" w:noVBand="1"/>
      </w:tblPr>
      <w:tblGrid>
        <w:gridCol w:w="2522"/>
        <w:gridCol w:w="4849"/>
        <w:gridCol w:w="1508"/>
      </w:tblGrid>
      <w:tr w:rsidR="00356FCE" w:rsidTr="00D93E43">
        <w:tc>
          <w:tcPr>
            <w:tcW w:w="8879" w:type="dxa"/>
            <w:gridSpan w:val="3"/>
          </w:tcPr>
          <w:p w:rsidR="00A5321E" w:rsidRPr="00A5321E" w:rsidRDefault="001D10F6" w:rsidP="001D10F6">
            <w:pPr>
              <w:pStyle w:val="ListParagraph"/>
              <w:ind w:left="567" w:hanging="567"/>
              <w:jc w:val="both"/>
              <w:rPr>
                <w:b/>
              </w:rPr>
            </w:pPr>
            <w:r w:rsidRPr="00A5321E">
              <w:rPr>
                <w:b/>
              </w:rPr>
              <w:t>Table 1. LIS Lancashire Engagement Activity to date</w:t>
            </w:r>
          </w:p>
        </w:tc>
      </w:tr>
      <w:tr w:rsidR="00356FCE" w:rsidTr="00D93E43">
        <w:tc>
          <w:tcPr>
            <w:tcW w:w="2522" w:type="dxa"/>
          </w:tcPr>
          <w:p w:rsidR="00A5321E" w:rsidRPr="00D93E43" w:rsidRDefault="001D10F6" w:rsidP="001D10F6">
            <w:pPr>
              <w:pStyle w:val="ListParagraph"/>
              <w:ind w:left="567" w:hanging="567"/>
              <w:jc w:val="both"/>
              <w:rPr>
                <w:b/>
              </w:rPr>
            </w:pPr>
            <w:r w:rsidRPr="00D93E43">
              <w:rPr>
                <w:b/>
              </w:rPr>
              <w:t>Activity</w:t>
            </w:r>
          </w:p>
        </w:tc>
        <w:tc>
          <w:tcPr>
            <w:tcW w:w="4849" w:type="dxa"/>
          </w:tcPr>
          <w:p w:rsidR="00A5321E" w:rsidRPr="00D93E43" w:rsidRDefault="001D10F6" w:rsidP="001D10F6">
            <w:pPr>
              <w:pStyle w:val="ListParagraph"/>
              <w:ind w:left="567" w:hanging="567"/>
              <w:jc w:val="both"/>
              <w:rPr>
                <w:b/>
              </w:rPr>
            </w:pPr>
            <w:r w:rsidRPr="00D93E43">
              <w:rPr>
                <w:b/>
              </w:rPr>
              <w:t xml:space="preserve">Audience </w:t>
            </w:r>
          </w:p>
        </w:tc>
        <w:tc>
          <w:tcPr>
            <w:tcW w:w="1508" w:type="dxa"/>
          </w:tcPr>
          <w:p w:rsidR="00A5321E" w:rsidRPr="00D93E43" w:rsidRDefault="001D10F6" w:rsidP="001D10F6">
            <w:pPr>
              <w:pStyle w:val="ListParagraph"/>
              <w:ind w:left="567" w:hanging="567"/>
              <w:jc w:val="both"/>
              <w:rPr>
                <w:b/>
              </w:rPr>
            </w:pPr>
            <w:r w:rsidRPr="00D93E43">
              <w:rPr>
                <w:b/>
              </w:rPr>
              <w:t>Numbers</w:t>
            </w:r>
          </w:p>
        </w:tc>
      </w:tr>
      <w:tr w:rsidR="00356FCE" w:rsidTr="00D93E43">
        <w:tc>
          <w:tcPr>
            <w:tcW w:w="2522" w:type="dxa"/>
          </w:tcPr>
          <w:p w:rsidR="00A5321E" w:rsidRDefault="001D10F6" w:rsidP="001D10F6">
            <w:pPr>
              <w:pStyle w:val="ListParagraph"/>
              <w:ind w:left="567" w:hanging="567"/>
              <w:jc w:val="both"/>
            </w:pPr>
            <w:r>
              <w:t>Telephone interviews</w:t>
            </w:r>
          </w:p>
        </w:tc>
        <w:tc>
          <w:tcPr>
            <w:tcW w:w="4849" w:type="dxa"/>
          </w:tcPr>
          <w:p w:rsidR="00A5321E" w:rsidRDefault="001D10F6" w:rsidP="001D10F6">
            <w:pPr>
              <w:pStyle w:val="ListParagraph"/>
              <w:ind w:left="567" w:hanging="567"/>
              <w:jc w:val="both"/>
            </w:pPr>
            <w:r>
              <w:t>Key Stakeholders</w:t>
            </w:r>
          </w:p>
        </w:tc>
        <w:tc>
          <w:tcPr>
            <w:tcW w:w="1508" w:type="dxa"/>
          </w:tcPr>
          <w:p w:rsidR="00A5321E" w:rsidRDefault="001D10F6" w:rsidP="001D10F6">
            <w:pPr>
              <w:pStyle w:val="ListParagraph"/>
              <w:ind w:left="567" w:hanging="567"/>
              <w:jc w:val="both"/>
            </w:pPr>
            <w:r>
              <w:t>20</w:t>
            </w:r>
          </w:p>
        </w:tc>
      </w:tr>
      <w:tr w:rsidR="00356FCE" w:rsidTr="00D93E43">
        <w:tc>
          <w:tcPr>
            <w:tcW w:w="2522" w:type="dxa"/>
            <w:vMerge w:val="restart"/>
          </w:tcPr>
          <w:p w:rsidR="00D93E43" w:rsidRDefault="001D10F6" w:rsidP="001D10F6">
            <w:pPr>
              <w:pStyle w:val="ListParagraph"/>
              <w:ind w:left="567" w:hanging="567"/>
              <w:jc w:val="both"/>
            </w:pPr>
            <w:r>
              <w:t>LEP Sub- Groups</w:t>
            </w:r>
          </w:p>
        </w:tc>
        <w:tc>
          <w:tcPr>
            <w:tcW w:w="4849" w:type="dxa"/>
          </w:tcPr>
          <w:p w:rsidR="00D93E43" w:rsidRDefault="001D10F6" w:rsidP="001D10F6">
            <w:pPr>
              <w:pStyle w:val="ListParagraph"/>
              <w:ind w:left="567" w:hanging="567"/>
              <w:jc w:val="both"/>
            </w:pPr>
            <w:r>
              <w:t xml:space="preserve">Business Support Management Board </w:t>
            </w:r>
          </w:p>
        </w:tc>
        <w:tc>
          <w:tcPr>
            <w:tcW w:w="1508" w:type="dxa"/>
          </w:tcPr>
          <w:p w:rsidR="00D93E43" w:rsidRDefault="001D10F6" w:rsidP="001D10F6">
            <w:pPr>
              <w:pStyle w:val="ListParagraph"/>
              <w:ind w:left="567" w:hanging="567"/>
              <w:jc w:val="both"/>
            </w:pPr>
            <w:r>
              <w:t>10</w:t>
            </w:r>
          </w:p>
        </w:tc>
      </w:tr>
      <w:tr w:rsidR="00356FCE" w:rsidTr="00D93E43">
        <w:tc>
          <w:tcPr>
            <w:tcW w:w="2522" w:type="dxa"/>
            <w:vMerge/>
          </w:tcPr>
          <w:p w:rsidR="00D93E43" w:rsidRDefault="001B3357" w:rsidP="001D10F6">
            <w:pPr>
              <w:pStyle w:val="ListParagraph"/>
              <w:ind w:left="567" w:hanging="567"/>
              <w:jc w:val="both"/>
            </w:pPr>
          </w:p>
        </w:tc>
        <w:tc>
          <w:tcPr>
            <w:tcW w:w="4849" w:type="dxa"/>
          </w:tcPr>
          <w:p w:rsidR="00D93E43" w:rsidRDefault="001D10F6" w:rsidP="001D10F6">
            <w:pPr>
              <w:pStyle w:val="ListParagraph"/>
              <w:ind w:left="567" w:hanging="567"/>
              <w:jc w:val="both"/>
            </w:pPr>
            <w:r>
              <w:t>Skills and Employment Advisory Panel</w:t>
            </w:r>
          </w:p>
        </w:tc>
        <w:tc>
          <w:tcPr>
            <w:tcW w:w="1508" w:type="dxa"/>
          </w:tcPr>
          <w:p w:rsidR="00D93E43" w:rsidRDefault="001D10F6" w:rsidP="001D10F6">
            <w:pPr>
              <w:pStyle w:val="ListParagraph"/>
              <w:ind w:left="567" w:hanging="567"/>
              <w:jc w:val="both"/>
            </w:pPr>
            <w:r>
              <w:t>15</w:t>
            </w:r>
          </w:p>
        </w:tc>
      </w:tr>
      <w:tr w:rsidR="00356FCE" w:rsidTr="00D93E43">
        <w:tc>
          <w:tcPr>
            <w:tcW w:w="2522" w:type="dxa"/>
          </w:tcPr>
          <w:p w:rsidR="00A5321E" w:rsidRDefault="001D10F6" w:rsidP="001D10F6">
            <w:pPr>
              <w:pStyle w:val="ListParagraph"/>
              <w:ind w:left="567" w:hanging="567"/>
              <w:jc w:val="both"/>
            </w:pPr>
            <w:r>
              <w:t>SWOT Workshop</w:t>
            </w:r>
          </w:p>
        </w:tc>
        <w:tc>
          <w:tcPr>
            <w:tcW w:w="4849" w:type="dxa"/>
          </w:tcPr>
          <w:p w:rsidR="00D93E43" w:rsidRDefault="001D10F6" w:rsidP="001D10F6">
            <w:pPr>
              <w:pStyle w:val="ListParagraph"/>
              <w:ind w:left="567" w:hanging="567"/>
              <w:jc w:val="both"/>
            </w:pPr>
            <w:r>
              <w:t>Economic Development Organisations</w:t>
            </w:r>
          </w:p>
          <w:p w:rsidR="00D93E43" w:rsidRDefault="001D10F6" w:rsidP="001D10F6">
            <w:pPr>
              <w:pStyle w:val="ListParagraph"/>
              <w:ind w:left="567" w:hanging="567"/>
              <w:jc w:val="both"/>
            </w:pPr>
            <w:r>
              <w:t>Businesses (large)</w:t>
            </w:r>
          </w:p>
          <w:p w:rsidR="00A5321E" w:rsidRDefault="001D10F6" w:rsidP="001D10F6">
            <w:pPr>
              <w:pStyle w:val="ListParagraph"/>
              <w:ind w:left="567" w:hanging="567"/>
            </w:pPr>
            <w:r>
              <w:t>HEIs / FE, Local Authorities</w:t>
            </w:r>
          </w:p>
        </w:tc>
        <w:tc>
          <w:tcPr>
            <w:tcW w:w="1508" w:type="dxa"/>
          </w:tcPr>
          <w:p w:rsidR="00A5321E" w:rsidRDefault="001D10F6" w:rsidP="001D10F6">
            <w:pPr>
              <w:pStyle w:val="ListParagraph"/>
              <w:ind w:left="567" w:hanging="567"/>
              <w:jc w:val="both"/>
            </w:pPr>
            <w:r>
              <w:t>50</w:t>
            </w:r>
          </w:p>
        </w:tc>
      </w:tr>
      <w:tr w:rsidR="00356FCE" w:rsidTr="00D93E43">
        <w:tc>
          <w:tcPr>
            <w:tcW w:w="2522" w:type="dxa"/>
          </w:tcPr>
          <w:p w:rsidR="00A5321E" w:rsidRDefault="001D10F6" w:rsidP="001D10F6">
            <w:pPr>
              <w:pStyle w:val="ListParagraph"/>
              <w:ind w:left="567" w:hanging="567"/>
              <w:jc w:val="both"/>
            </w:pPr>
            <w:r>
              <w:t>ELC Event</w:t>
            </w:r>
          </w:p>
        </w:tc>
        <w:tc>
          <w:tcPr>
            <w:tcW w:w="4849" w:type="dxa"/>
          </w:tcPr>
          <w:p w:rsidR="00A5321E" w:rsidRDefault="001D10F6" w:rsidP="001D10F6">
            <w:pPr>
              <w:pStyle w:val="ListParagraph"/>
              <w:ind w:left="567" w:hanging="567"/>
            </w:pPr>
            <w:r>
              <w:t>Businesses (large and SME) FE</w:t>
            </w:r>
          </w:p>
          <w:p w:rsidR="00D93E43" w:rsidRDefault="001D10F6" w:rsidP="001D10F6">
            <w:pPr>
              <w:pStyle w:val="ListParagraph"/>
              <w:ind w:left="567" w:hanging="567"/>
              <w:jc w:val="both"/>
            </w:pPr>
            <w:r>
              <w:t>Local Authorities</w:t>
            </w:r>
          </w:p>
        </w:tc>
        <w:tc>
          <w:tcPr>
            <w:tcW w:w="1508" w:type="dxa"/>
          </w:tcPr>
          <w:p w:rsidR="00A5321E" w:rsidRDefault="001D10F6" w:rsidP="001D10F6">
            <w:pPr>
              <w:pStyle w:val="ListParagraph"/>
              <w:ind w:left="567" w:hanging="567"/>
              <w:jc w:val="both"/>
            </w:pPr>
            <w:r>
              <w:t>110</w:t>
            </w:r>
          </w:p>
        </w:tc>
      </w:tr>
      <w:tr w:rsidR="00356FCE" w:rsidTr="00D93E43">
        <w:tc>
          <w:tcPr>
            <w:tcW w:w="2522" w:type="dxa"/>
          </w:tcPr>
          <w:p w:rsidR="00F37B92" w:rsidRDefault="001D10F6" w:rsidP="001D10F6">
            <w:pPr>
              <w:pStyle w:val="ListParagraph"/>
              <w:ind w:left="0" w:firstLine="0"/>
              <w:jc w:val="both"/>
            </w:pPr>
            <w:r>
              <w:t xml:space="preserve">UCLAN </w:t>
            </w:r>
          </w:p>
        </w:tc>
        <w:tc>
          <w:tcPr>
            <w:tcW w:w="4849" w:type="dxa"/>
          </w:tcPr>
          <w:p w:rsidR="00F37B92" w:rsidRDefault="001D10F6" w:rsidP="001D10F6">
            <w:pPr>
              <w:pStyle w:val="ListParagraph"/>
              <w:ind w:left="567" w:hanging="567"/>
              <w:jc w:val="both"/>
            </w:pPr>
            <w:r>
              <w:t>staff awareness event</w:t>
            </w:r>
          </w:p>
        </w:tc>
        <w:tc>
          <w:tcPr>
            <w:tcW w:w="1508" w:type="dxa"/>
          </w:tcPr>
          <w:p w:rsidR="00F37B92" w:rsidRDefault="001D10F6" w:rsidP="001D10F6">
            <w:pPr>
              <w:pStyle w:val="ListParagraph"/>
              <w:ind w:left="567" w:hanging="567"/>
              <w:jc w:val="both"/>
            </w:pPr>
            <w:r>
              <w:t>48</w:t>
            </w:r>
          </w:p>
        </w:tc>
      </w:tr>
    </w:tbl>
    <w:p w:rsidR="00A5321E" w:rsidRDefault="001B3357" w:rsidP="001D10F6">
      <w:pPr>
        <w:ind w:left="567" w:hanging="567"/>
        <w:jc w:val="both"/>
      </w:pPr>
    </w:p>
    <w:p w:rsidR="008179C7" w:rsidRDefault="001D10F6" w:rsidP="001D10F6">
      <w:pPr>
        <w:pStyle w:val="ListParagraph"/>
        <w:numPr>
          <w:ilvl w:val="1"/>
          <w:numId w:val="8"/>
        </w:numPr>
        <w:ind w:left="567" w:hanging="567"/>
        <w:jc w:val="both"/>
      </w:pPr>
      <w:r>
        <w:t>As illustrated by the numbers above, the appetite of local partners to engage with LIS consultation has been considerable.  LEP officers have reacted to this by establishing a number of alternate communications channels including an online questionnaire, LIS web page, and a specific programme of marketing activity to raise awareness and understanding of the LIS development process.  A mailing to local MPs is also taking place to make them aware of this specific activity programme.</w:t>
      </w:r>
      <w:r>
        <w:br/>
      </w:r>
    </w:p>
    <w:p w:rsidR="0035550E" w:rsidRDefault="001D10F6" w:rsidP="001D10F6">
      <w:pPr>
        <w:pStyle w:val="ListParagraph"/>
        <w:numPr>
          <w:ilvl w:val="1"/>
          <w:numId w:val="8"/>
        </w:numPr>
        <w:ind w:left="567" w:hanging="567"/>
        <w:jc w:val="both"/>
      </w:pPr>
      <w:r>
        <w:t>Requests/suggestions have also been made that specific consultation activity for young people and black and minority ethnic groups should also form part of the consultation process.  These lie beyond the current brief of Steer, but could be led LEP by officers or Board member volunteers.</w:t>
      </w:r>
    </w:p>
    <w:p w:rsidR="008179C7" w:rsidRDefault="001B3357" w:rsidP="001D10F6">
      <w:pPr>
        <w:ind w:left="0" w:firstLine="0"/>
        <w:jc w:val="both"/>
      </w:pPr>
    </w:p>
    <w:p w:rsidR="0035550E" w:rsidRDefault="001D10F6" w:rsidP="001D10F6">
      <w:pPr>
        <w:pStyle w:val="ListParagraph"/>
        <w:numPr>
          <w:ilvl w:val="1"/>
          <w:numId w:val="8"/>
        </w:numPr>
        <w:ind w:left="567" w:hanging="567"/>
        <w:jc w:val="both"/>
      </w:pPr>
      <w:r>
        <w:t>The main output of the initial Evidence Base / SWOT phase of LIS development activity is a "data vault" which presents the evidence base which Steer have collated.  This is presented as Appendix 1 to this report.  Steer will detail key finding as part of their presentation.</w:t>
      </w:r>
    </w:p>
    <w:p w:rsidR="006F0178" w:rsidRDefault="001B3357" w:rsidP="001D10F6">
      <w:pPr>
        <w:pStyle w:val="ListParagraph"/>
        <w:ind w:left="567" w:firstLine="0"/>
        <w:jc w:val="both"/>
      </w:pPr>
    </w:p>
    <w:p w:rsidR="0035550E" w:rsidRPr="001D10F6" w:rsidRDefault="001D10F6" w:rsidP="001D10F6">
      <w:pPr>
        <w:pStyle w:val="ListParagraph"/>
        <w:numPr>
          <w:ilvl w:val="1"/>
          <w:numId w:val="8"/>
        </w:numPr>
        <w:ind w:left="567" w:hanging="567"/>
        <w:jc w:val="both"/>
        <w:rPr>
          <w:b/>
        </w:rPr>
      </w:pPr>
      <w:r>
        <w:t>Although comments and evidence are still being received, we need to progress the work to a second phase which will start to set out the emerging strategic priority areas for Lancashire.</w:t>
      </w:r>
    </w:p>
    <w:p w:rsidR="006F0178" w:rsidRPr="006F0178" w:rsidRDefault="001B3357" w:rsidP="001D10F6">
      <w:pPr>
        <w:pStyle w:val="ListParagraph"/>
        <w:ind w:left="567" w:firstLine="0"/>
        <w:jc w:val="both"/>
        <w:rPr>
          <w:b/>
        </w:rPr>
      </w:pPr>
      <w:bookmarkStart w:id="0" w:name="_GoBack"/>
      <w:bookmarkEnd w:id="0"/>
    </w:p>
    <w:p w:rsidR="001B3357" w:rsidRDefault="001D10F6" w:rsidP="001D10F6">
      <w:pPr>
        <w:ind w:left="567" w:hanging="567"/>
        <w:jc w:val="both"/>
        <w:rPr>
          <w:b/>
        </w:rPr>
      </w:pPr>
      <w:r w:rsidRPr="006F0178">
        <w:rPr>
          <w:b/>
        </w:rPr>
        <w:t>2.</w:t>
      </w:r>
      <w:r w:rsidRPr="006F0178">
        <w:rPr>
          <w:b/>
        </w:rPr>
        <w:tab/>
        <w:t>Emerging Best Practice</w:t>
      </w:r>
    </w:p>
    <w:p w:rsidR="006F0178" w:rsidRDefault="001B3357" w:rsidP="001D10F6">
      <w:pPr>
        <w:ind w:left="567" w:hanging="567"/>
        <w:jc w:val="both"/>
      </w:pPr>
    </w:p>
    <w:p w:rsidR="0035550E" w:rsidRDefault="001D10F6" w:rsidP="001D10F6">
      <w:pPr>
        <w:ind w:left="567" w:hanging="567"/>
        <w:jc w:val="both"/>
      </w:pPr>
      <w:r>
        <w:t>2.1</w:t>
      </w:r>
      <w:r>
        <w:tab/>
        <w:t>Of the three trailblazer areas, West Midlands are the first to publish an agreed Local Industrial Strategy on the 16</w:t>
      </w:r>
      <w:r w:rsidRPr="00A22A54">
        <w:rPr>
          <w:vertAlign w:val="superscript"/>
        </w:rPr>
        <w:t>th</w:t>
      </w:r>
      <w:r>
        <w:t xml:space="preserve"> May 2019, this is available through this </w:t>
      </w:r>
      <w:hyperlink r:id="rId8" w:history="1">
        <w:r w:rsidRPr="00A22A54">
          <w:rPr>
            <w:rStyle w:val="Hyperlink"/>
          </w:rPr>
          <w:t>link</w:t>
        </w:r>
      </w:hyperlink>
      <w:r>
        <w:t>. A LIS for Greater Manchester is anticipated shortly.</w:t>
      </w:r>
    </w:p>
    <w:p w:rsidR="00A22A54" w:rsidRDefault="001B3357" w:rsidP="001D10F6">
      <w:pPr>
        <w:ind w:left="567" w:hanging="567"/>
        <w:jc w:val="both"/>
      </w:pPr>
    </w:p>
    <w:p w:rsidR="00A22A54" w:rsidRDefault="001D10F6" w:rsidP="001D10F6">
      <w:pPr>
        <w:ind w:left="567" w:hanging="567"/>
      </w:pPr>
      <w:r>
        <w:t>2.2</w:t>
      </w:r>
      <w:r>
        <w:tab/>
        <w:t>As set out on the government's own LIS website:</w:t>
      </w:r>
      <w:r>
        <w:br/>
        <w:t xml:space="preserve">   </w:t>
      </w:r>
      <w:r>
        <w:br/>
      </w:r>
      <w:r w:rsidRPr="00264062">
        <w:rPr>
          <w:i/>
        </w:rPr>
        <w:t>"The West Midlands Local Industrial Strategy is a long-term plan aimed to increase productivity. It is locally led and developed in partnership with government, based on clear evidence and aligned to the national Industrial Strategy".</w:t>
      </w:r>
    </w:p>
    <w:p w:rsidR="00264062" w:rsidRDefault="001B3357" w:rsidP="001D10F6">
      <w:pPr>
        <w:ind w:left="567" w:hanging="567"/>
        <w:jc w:val="both"/>
      </w:pPr>
    </w:p>
    <w:p w:rsidR="00A22A54" w:rsidRDefault="001D10F6" w:rsidP="001D10F6">
      <w:pPr>
        <w:ind w:left="567" w:firstLine="0"/>
        <w:jc w:val="both"/>
      </w:pPr>
      <w:r>
        <w:t>Unsurprisingly, given the structure of their local economy, the LIS has a focus on addressing the Future of Mobility Grand Challenge as the centre of transport innovation in the UK, but it also sets an aspiration to develop new market opportunities in data driven health and life sciences; modern services; and through the application of creative techniques and technologies in future industries.</w:t>
      </w:r>
    </w:p>
    <w:p w:rsidR="00264062" w:rsidRDefault="001B3357" w:rsidP="001D10F6">
      <w:pPr>
        <w:jc w:val="both"/>
      </w:pPr>
    </w:p>
    <w:p w:rsidR="00264062" w:rsidRDefault="001D10F6" w:rsidP="001D10F6">
      <w:pPr>
        <w:jc w:val="both"/>
      </w:pPr>
      <w:r>
        <w:t>2.3</w:t>
      </w:r>
      <w:r>
        <w:tab/>
        <w:t xml:space="preserve">The document itself is relatively short and organised around 5 foundations of the national LIS.   These foundation chapters </w:t>
      </w:r>
      <w:r w:rsidRPr="00264062">
        <w:t>f</w:t>
      </w:r>
      <w:r>
        <w:t>ocus on each is involved in driving</w:t>
      </w:r>
      <w:r w:rsidRPr="00264062">
        <w:t xml:space="preserve"> productivity, including targeted action on skills, housing and transport with plans to drive up levels of business innovation and the commercialisation of research and development</w:t>
      </w:r>
      <w:r>
        <w:t xml:space="preserve">.  There is also a clear focus on inclusive growth defined as </w:t>
      </w:r>
      <w:r w:rsidRPr="00264062">
        <w:t>mak</w:t>
      </w:r>
      <w:r>
        <w:t>ing</w:t>
      </w:r>
      <w:r w:rsidRPr="00264062">
        <w:t xml:space="preserve"> sure all communities can contribute to and benefit from economic prosperity</w:t>
      </w:r>
      <w:r>
        <w:t>.</w:t>
      </w:r>
      <w:r>
        <w:br/>
      </w:r>
    </w:p>
    <w:p w:rsidR="0035550E" w:rsidRDefault="001D10F6" w:rsidP="001D10F6">
      <w:pPr>
        <w:jc w:val="both"/>
      </w:pPr>
      <w:r>
        <w:t>2.4</w:t>
      </w:r>
      <w:r>
        <w:tab/>
        <w:t>The document stops short of making specific regulatory, organisational or financial asks of government, although its launch by Andrew Stephenson the Small Business Minister did coincide with the announcement of a further £28m of funding for the Battery Industrialisation Centre in Coventry.  Whilst clearly the document is indicating particular strengths and capabilities which might be the subject of further investment, it also sets out how the priorities addressed will be championed via the existing devolved resource.</w:t>
      </w:r>
    </w:p>
    <w:p w:rsidR="00C702AD" w:rsidRDefault="001B3357" w:rsidP="001B3357">
      <w:pPr>
        <w:ind w:left="0" w:firstLine="0"/>
        <w:jc w:val="both"/>
      </w:pPr>
    </w:p>
    <w:p w:rsidR="0035550E" w:rsidRDefault="001D10F6" w:rsidP="001D10F6">
      <w:pPr>
        <w:jc w:val="both"/>
        <w:rPr>
          <w:b/>
        </w:rPr>
      </w:pPr>
      <w:r w:rsidRPr="00A5070B">
        <w:rPr>
          <w:b/>
        </w:rPr>
        <w:t>3.</w:t>
      </w:r>
      <w:r w:rsidRPr="00A5070B">
        <w:rPr>
          <w:b/>
        </w:rPr>
        <w:tab/>
        <w:t>Next Steps in Lancashire</w:t>
      </w:r>
    </w:p>
    <w:p w:rsidR="00C702AD" w:rsidRPr="00A5070B" w:rsidRDefault="001B3357" w:rsidP="001D10F6">
      <w:pPr>
        <w:jc w:val="both"/>
        <w:rPr>
          <w:b/>
        </w:rPr>
      </w:pPr>
    </w:p>
    <w:p w:rsidR="0035550E" w:rsidRDefault="001D10F6" w:rsidP="001D10F6">
      <w:pPr>
        <w:jc w:val="both"/>
      </w:pPr>
      <w:r>
        <w:t>3.1</w:t>
      </w:r>
      <w:r>
        <w:tab/>
        <w:t>Whilst we need to consider how additional requests for consultation will be met, the current key milestones on timetable relating to the production of the Local Industrial Strategy are set out below:</w:t>
      </w:r>
    </w:p>
    <w:p w:rsidR="00A5070B" w:rsidRDefault="001D10F6" w:rsidP="001D10F6">
      <w:pPr>
        <w:jc w:val="both"/>
      </w:pPr>
      <w:r>
        <w:br/>
      </w:r>
    </w:p>
    <w:tbl>
      <w:tblPr>
        <w:tblStyle w:val="TableGrid"/>
        <w:tblW w:w="8384" w:type="dxa"/>
        <w:tblInd w:w="542" w:type="dxa"/>
        <w:tblLook w:val="04A0" w:firstRow="1" w:lastRow="0" w:firstColumn="1" w:lastColumn="0" w:noHBand="0" w:noVBand="1"/>
      </w:tblPr>
      <w:tblGrid>
        <w:gridCol w:w="1154"/>
        <w:gridCol w:w="7230"/>
      </w:tblGrid>
      <w:tr w:rsidR="00356FCE" w:rsidTr="00A5070B">
        <w:tc>
          <w:tcPr>
            <w:tcW w:w="1154" w:type="dxa"/>
          </w:tcPr>
          <w:p w:rsidR="00A5070B" w:rsidRPr="00A5070B" w:rsidRDefault="001D10F6" w:rsidP="001D10F6">
            <w:pPr>
              <w:ind w:left="0" w:firstLine="0"/>
              <w:jc w:val="both"/>
              <w:rPr>
                <w:b/>
              </w:rPr>
            </w:pPr>
            <w:r w:rsidRPr="00A5070B">
              <w:rPr>
                <w:b/>
              </w:rPr>
              <w:t>DATE</w:t>
            </w:r>
          </w:p>
        </w:tc>
        <w:tc>
          <w:tcPr>
            <w:tcW w:w="7230" w:type="dxa"/>
          </w:tcPr>
          <w:p w:rsidR="00A5070B" w:rsidRPr="00A5070B" w:rsidRDefault="001D10F6" w:rsidP="001D10F6">
            <w:pPr>
              <w:ind w:left="0" w:firstLine="0"/>
              <w:jc w:val="both"/>
              <w:rPr>
                <w:b/>
              </w:rPr>
            </w:pPr>
            <w:r w:rsidRPr="00A5070B">
              <w:rPr>
                <w:b/>
              </w:rPr>
              <w:t>ACTIVITY</w:t>
            </w:r>
          </w:p>
        </w:tc>
      </w:tr>
      <w:tr w:rsidR="00356FCE" w:rsidTr="00A5070B">
        <w:tc>
          <w:tcPr>
            <w:tcW w:w="1154" w:type="dxa"/>
          </w:tcPr>
          <w:p w:rsidR="00A5070B" w:rsidRPr="00A5070B" w:rsidRDefault="001D10F6" w:rsidP="001D10F6">
            <w:pPr>
              <w:ind w:left="0" w:firstLine="0"/>
              <w:jc w:val="both"/>
            </w:pPr>
            <w:r w:rsidRPr="00A5070B">
              <w:t>17/07/19</w:t>
            </w:r>
          </w:p>
        </w:tc>
        <w:tc>
          <w:tcPr>
            <w:tcW w:w="7230" w:type="dxa"/>
          </w:tcPr>
          <w:p w:rsidR="00A5070B" w:rsidRPr="00A5070B" w:rsidRDefault="001D10F6" w:rsidP="001D10F6">
            <w:pPr>
              <w:ind w:left="0" w:firstLine="0"/>
              <w:jc w:val="both"/>
            </w:pPr>
            <w:r w:rsidRPr="00A5070B">
              <w:t>Online questionnaire closes</w:t>
            </w:r>
          </w:p>
        </w:tc>
      </w:tr>
      <w:tr w:rsidR="00356FCE" w:rsidTr="00A5070B">
        <w:tc>
          <w:tcPr>
            <w:tcW w:w="1154" w:type="dxa"/>
          </w:tcPr>
          <w:p w:rsidR="00A5070B" w:rsidRDefault="001D10F6" w:rsidP="001D10F6">
            <w:pPr>
              <w:ind w:left="0" w:firstLine="0"/>
              <w:jc w:val="both"/>
            </w:pPr>
            <w:r>
              <w:t>24/07/19</w:t>
            </w:r>
          </w:p>
        </w:tc>
        <w:tc>
          <w:tcPr>
            <w:tcW w:w="7230" w:type="dxa"/>
          </w:tcPr>
          <w:p w:rsidR="00A5070B" w:rsidRDefault="001D10F6" w:rsidP="001D10F6">
            <w:pPr>
              <w:ind w:left="0" w:firstLine="0"/>
              <w:jc w:val="both"/>
            </w:pPr>
            <w:r>
              <w:t>Strategic Stakeholder Workshop to develop Strategic Priorities</w:t>
            </w:r>
          </w:p>
        </w:tc>
      </w:tr>
      <w:tr w:rsidR="001D10F6" w:rsidTr="00A5070B">
        <w:tc>
          <w:tcPr>
            <w:tcW w:w="1154" w:type="dxa"/>
          </w:tcPr>
          <w:p w:rsidR="001D10F6" w:rsidRDefault="001D10F6">
            <w:pPr>
              <w:ind w:left="0" w:firstLine="0"/>
              <w:jc w:val="both"/>
            </w:pPr>
            <w:r>
              <w:t>01/08/19</w:t>
            </w:r>
          </w:p>
        </w:tc>
        <w:tc>
          <w:tcPr>
            <w:tcW w:w="7230" w:type="dxa"/>
          </w:tcPr>
          <w:p w:rsidR="001D10F6" w:rsidRDefault="001D10F6">
            <w:pPr>
              <w:ind w:left="0" w:firstLine="0"/>
              <w:jc w:val="both"/>
            </w:pPr>
            <w:r>
              <w:t>Lancashire Local Authority Leaders</w:t>
            </w:r>
          </w:p>
        </w:tc>
      </w:tr>
      <w:tr w:rsidR="00356FCE" w:rsidTr="00A5070B">
        <w:tc>
          <w:tcPr>
            <w:tcW w:w="1154" w:type="dxa"/>
          </w:tcPr>
          <w:p w:rsidR="00A5070B" w:rsidRDefault="001D10F6" w:rsidP="001D10F6">
            <w:pPr>
              <w:ind w:left="0" w:firstLine="0"/>
              <w:jc w:val="both"/>
            </w:pPr>
            <w:r>
              <w:t>08/19</w:t>
            </w:r>
          </w:p>
        </w:tc>
        <w:tc>
          <w:tcPr>
            <w:tcW w:w="7230" w:type="dxa"/>
          </w:tcPr>
          <w:p w:rsidR="00A5070B" w:rsidRDefault="001D10F6" w:rsidP="001D10F6">
            <w:pPr>
              <w:ind w:left="0" w:firstLine="0"/>
              <w:jc w:val="both"/>
            </w:pPr>
            <w:r>
              <w:t>Develop theme-level actions/proposition/national and local ‘asks’</w:t>
            </w:r>
          </w:p>
        </w:tc>
      </w:tr>
      <w:tr w:rsidR="00356FCE" w:rsidTr="00A5070B">
        <w:tc>
          <w:tcPr>
            <w:tcW w:w="1154" w:type="dxa"/>
          </w:tcPr>
          <w:p w:rsidR="00A5070B" w:rsidRDefault="001D10F6" w:rsidP="001D10F6">
            <w:pPr>
              <w:ind w:left="0" w:firstLine="0"/>
              <w:jc w:val="both"/>
            </w:pPr>
            <w:r>
              <w:t>09/19</w:t>
            </w:r>
          </w:p>
        </w:tc>
        <w:tc>
          <w:tcPr>
            <w:tcW w:w="7230" w:type="dxa"/>
          </w:tcPr>
          <w:p w:rsidR="00A5070B" w:rsidRDefault="001D10F6" w:rsidP="001D10F6">
            <w:pPr>
              <w:ind w:left="0" w:firstLine="0"/>
              <w:jc w:val="both"/>
            </w:pPr>
            <w:r>
              <w:t>Action planning consultation workshop</w:t>
            </w:r>
          </w:p>
        </w:tc>
      </w:tr>
      <w:tr w:rsidR="00356FCE" w:rsidTr="00A5070B">
        <w:tc>
          <w:tcPr>
            <w:tcW w:w="1154" w:type="dxa"/>
          </w:tcPr>
          <w:p w:rsidR="00A5070B" w:rsidRDefault="001D10F6" w:rsidP="001D10F6">
            <w:pPr>
              <w:ind w:left="0" w:firstLine="0"/>
              <w:jc w:val="both"/>
            </w:pPr>
            <w:r>
              <w:t>09/19</w:t>
            </w:r>
          </w:p>
        </w:tc>
        <w:tc>
          <w:tcPr>
            <w:tcW w:w="7230" w:type="dxa"/>
          </w:tcPr>
          <w:p w:rsidR="00A5070B" w:rsidRDefault="001D10F6" w:rsidP="001D10F6">
            <w:pPr>
              <w:ind w:left="0" w:firstLine="0"/>
              <w:jc w:val="both"/>
            </w:pPr>
            <w:r>
              <w:t>Co-design of key propositions begins with HMG departments</w:t>
            </w:r>
          </w:p>
        </w:tc>
      </w:tr>
      <w:tr w:rsidR="00356FCE" w:rsidTr="00A5070B">
        <w:tc>
          <w:tcPr>
            <w:tcW w:w="1154" w:type="dxa"/>
          </w:tcPr>
          <w:p w:rsidR="00A5070B" w:rsidRDefault="001D10F6" w:rsidP="001D10F6">
            <w:pPr>
              <w:ind w:left="0" w:firstLine="0"/>
              <w:jc w:val="both"/>
            </w:pPr>
            <w:r>
              <w:t>11/11/19</w:t>
            </w:r>
          </w:p>
        </w:tc>
        <w:tc>
          <w:tcPr>
            <w:tcW w:w="7230" w:type="dxa"/>
          </w:tcPr>
          <w:p w:rsidR="00A5070B" w:rsidRDefault="001D10F6" w:rsidP="001D10F6">
            <w:pPr>
              <w:ind w:left="0" w:firstLine="0"/>
              <w:jc w:val="both"/>
            </w:pPr>
            <w:r>
              <w:t>Presentation of findings and recommendations to LEP Board</w:t>
            </w:r>
          </w:p>
        </w:tc>
      </w:tr>
      <w:tr w:rsidR="00356FCE" w:rsidTr="00A5070B">
        <w:tc>
          <w:tcPr>
            <w:tcW w:w="1154" w:type="dxa"/>
          </w:tcPr>
          <w:p w:rsidR="00A5070B" w:rsidRDefault="001D10F6" w:rsidP="001D10F6">
            <w:pPr>
              <w:ind w:left="567" w:hanging="567"/>
              <w:jc w:val="both"/>
            </w:pPr>
            <w:r>
              <w:t>23/12/19</w:t>
            </w:r>
          </w:p>
        </w:tc>
        <w:tc>
          <w:tcPr>
            <w:tcW w:w="7230" w:type="dxa"/>
          </w:tcPr>
          <w:p w:rsidR="00A5070B" w:rsidRDefault="001D10F6" w:rsidP="001D10F6">
            <w:pPr>
              <w:ind w:left="567" w:hanging="567"/>
              <w:jc w:val="both"/>
            </w:pPr>
            <w:r>
              <w:t>Draft final LIS with LEP</w:t>
            </w:r>
          </w:p>
        </w:tc>
      </w:tr>
      <w:tr w:rsidR="00356FCE" w:rsidTr="00A5070B">
        <w:tc>
          <w:tcPr>
            <w:tcW w:w="1154" w:type="dxa"/>
          </w:tcPr>
          <w:p w:rsidR="00A5070B" w:rsidRDefault="001B3357" w:rsidP="001D10F6">
            <w:pPr>
              <w:ind w:left="0" w:firstLine="0"/>
              <w:jc w:val="both"/>
            </w:pPr>
          </w:p>
        </w:tc>
        <w:tc>
          <w:tcPr>
            <w:tcW w:w="7230" w:type="dxa"/>
          </w:tcPr>
          <w:p w:rsidR="00A5070B" w:rsidRDefault="001B3357" w:rsidP="001D10F6">
            <w:pPr>
              <w:ind w:left="0" w:firstLine="0"/>
              <w:jc w:val="both"/>
            </w:pPr>
          </w:p>
        </w:tc>
      </w:tr>
    </w:tbl>
    <w:p w:rsidR="00A5070B" w:rsidRDefault="001B3357" w:rsidP="001D10F6">
      <w:pPr>
        <w:jc w:val="both"/>
      </w:pPr>
    </w:p>
    <w:p w:rsidR="00612505" w:rsidRDefault="001B3357" w:rsidP="001D10F6">
      <w:pPr>
        <w:pStyle w:val="ListParagraph"/>
        <w:ind w:left="540" w:firstLine="0"/>
        <w:jc w:val="both"/>
      </w:pPr>
    </w:p>
    <w:p w:rsidR="002214B2" w:rsidRDefault="001B3357"/>
    <w:p w:rsidR="00610152" w:rsidRDefault="001D10F6">
      <w:pPr>
        <w:spacing w:after="160" w:line="259" w:lineRule="auto"/>
        <w:ind w:left="0" w:firstLine="0"/>
        <w:rPr>
          <w:rFonts w:eastAsiaTheme="majorEastAsia" w:cstheme="majorBidi"/>
          <w:b/>
          <w:color w:val="auto"/>
        </w:rPr>
      </w:pPr>
      <w:r>
        <w:rPr>
          <w:b/>
          <w:color w:val="auto"/>
        </w:rPr>
        <w:br w:type="page"/>
      </w:r>
    </w:p>
    <w:p w:rsidR="005D0C06" w:rsidRPr="00AB6785" w:rsidRDefault="001D10F6" w:rsidP="005D0C06">
      <w:pPr>
        <w:pStyle w:val="Heading5"/>
        <w:rPr>
          <w:rFonts w:ascii="Arial" w:hAnsi="Arial"/>
          <w:b/>
          <w:color w:val="auto"/>
        </w:rPr>
      </w:pPr>
      <w:r w:rsidRPr="00AB6785">
        <w:rPr>
          <w:rFonts w:ascii="Arial" w:hAnsi="Arial"/>
          <w:b/>
          <w:color w:val="auto"/>
        </w:rPr>
        <w:lastRenderedPageBreak/>
        <w:t>List of Background Papers</w:t>
      </w:r>
    </w:p>
    <w:p w:rsidR="005D0C06" w:rsidRDefault="001B3357" w:rsidP="005D0C06"/>
    <w:tbl>
      <w:tblPr>
        <w:tblW w:w="0" w:type="auto"/>
        <w:tblLayout w:type="fixed"/>
        <w:tblLook w:val="0000" w:firstRow="0" w:lastRow="0" w:firstColumn="0" w:lastColumn="0" w:noHBand="0" w:noVBand="0"/>
      </w:tblPr>
      <w:tblGrid>
        <w:gridCol w:w="3510"/>
        <w:gridCol w:w="2492"/>
        <w:gridCol w:w="3178"/>
      </w:tblGrid>
      <w:tr w:rsidR="00356FCE" w:rsidTr="00434CCE">
        <w:tc>
          <w:tcPr>
            <w:tcW w:w="3510" w:type="dxa"/>
          </w:tcPr>
          <w:p w:rsidR="005D0C06" w:rsidRPr="00AB6785" w:rsidRDefault="001D10F6"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9E39F7" w:rsidRPr="009E39F7" w:rsidRDefault="001D10F6" w:rsidP="009E39F7">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1D10F6" w:rsidP="00434CCE">
            <w:pPr>
              <w:pStyle w:val="Heading7"/>
              <w:rPr>
                <w:rFonts w:ascii="Arial" w:hAnsi="Arial" w:cs="Arial"/>
                <w:i w:val="0"/>
                <w:color w:val="auto"/>
              </w:rPr>
            </w:pPr>
            <w:r w:rsidRPr="00AB6785">
              <w:rPr>
                <w:rFonts w:ascii="Arial" w:hAnsi="Arial" w:cs="Arial"/>
                <w:i w:val="0"/>
                <w:color w:val="auto"/>
              </w:rPr>
              <w:t>Contact/Tel</w:t>
            </w:r>
          </w:p>
        </w:tc>
      </w:tr>
      <w:tr w:rsidR="00356FCE" w:rsidTr="00434CCE">
        <w:tc>
          <w:tcPr>
            <w:tcW w:w="3510" w:type="dxa"/>
          </w:tcPr>
          <w:p w:rsidR="005D0C06" w:rsidRPr="00AB6785" w:rsidRDefault="001B3357" w:rsidP="00434CCE">
            <w:pPr>
              <w:rPr>
                <w:color w:val="auto"/>
              </w:rPr>
            </w:pPr>
          </w:p>
          <w:p w:rsidR="005D0C06" w:rsidRDefault="001D10F6" w:rsidP="00434CCE">
            <w:pPr>
              <w:rPr>
                <w:color w:val="auto"/>
              </w:rPr>
            </w:pPr>
            <w:r>
              <w:rPr>
                <w:color w:val="auto"/>
              </w:rPr>
              <w:t xml:space="preserve">Lancashire LIS Evidence Base </w:t>
            </w:r>
          </w:p>
          <w:p w:rsidR="005D0C06" w:rsidRPr="00AB6785" w:rsidRDefault="001B3357" w:rsidP="00434CCE">
            <w:pPr>
              <w:rPr>
                <w:color w:val="auto"/>
              </w:rPr>
            </w:pPr>
          </w:p>
        </w:tc>
        <w:tc>
          <w:tcPr>
            <w:tcW w:w="2492" w:type="dxa"/>
          </w:tcPr>
          <w:p w:rsidR="005D0C06" w:rsidRDefault="001B3357" w:rsidP="00434CCE">
            <w:pPr>
              <w:rPr>
                <w:color w:val="auto"/>
              </w:rPr>
            </w:pPr>
          </w:p>
          <w:p w:rsidR="009E39F7" w:rsidRPr="00AB6785" w:rsidRDefault="001D10F6" w:rsidP="00434CCE">
            <w:pPr>
              <w:rPr>
                <w:color w:val="auto"/>
              </w:rPr>
            </w:pPr>
            <w:r>
              <w:rPr>
                <w:color w:val="auto"/>
              </w:rPr>
              <w:t>May 2019</w:t>
            </w:r>
          </w:p>
        </w:tc>
        <w:tc>
          <w:tcPr>
            <w:tcW w:w="3178" w:type="dxa"/>
          </w:tcPr>
          <w:p w:rsidR="005D0C06" w:rsidRDefault="001B3357" w:rsidP="00434CCE">
            <w:pPr>
              <w:rPr>
                <w:color w:val="auto"/>
              </w:rPr>
            </w:pPr>
          </w:p>
          <w:p w:rsidR="009E39F7" w:rsidRPr="00AB6785" w:rsidRDefault="001B3357" w:rsidP="001B3357">
            <w:pPr>
              <w:ind w:left="0" w:firstLine="0"/>
              <w:rPr>
                <w:color w:val="auto"/>
              </w:rPr>
            </w:pPr>
            <w:r>
              <w:rPr>
                <w:color w:val="auto"/>
              </w:rPr>
              <w:t xml:space="preserve">Andy Walker / </w:t>
            </w:r>
            <w:r>
              <w:rPr>
                <w:color w:val="auto"/>
              </w:rPr>
              <w:br/>
            </w:r>
            <w:r w:rsidR="001D10F6">
              <w:rPr>
                <w:color w:val="auto"/>
              </w:rPr>
              <w:t>01772 535 629</w:t>
            </w:r>
          </w:p>
        </w:tc>
      </w:tr>
      <w:tr w:rsidR="00356FCE" w:rsidTr="00434CCE">
        <w:trPr>
          <w:cantSplit/>
        </w:trPr>
        <w:tc>
          <w:tcPr>
            <w:tcW w:w="9180" w:type="dxa"/>
            <w:gridSpan w:val="3"/>
          </w:tcPr>
          <w:p w:rsidR="0035550E" w:rsidRDefault="001B3357" w:rsidP="001D10F6">
            <w:pPr>
              <w:ind w:left="0" w:firstLine="0"/>
            </w:pPr>
          </w:p>
          <w:p w:rsidR="001B3357" w:rsidRPr="001B3357" w:rsidRDefault="001B3357" w:rsidP="001B3357">
            <w:r w:rsidRPr="001B3357">
              <w:t xml:space="preserve">Reason for inclusion in Part II, if appropriate </w:t>
            </w:r>
          </w:p>
          <w:p w:rsidR="001B3357" w:rsidRDefault="001B3357" w:rsidP="001D10F6">
            <w:pPr>
              <w:ind w:left="0" w:firstLine="0"/>
            </w:pPr>
          </w:p>
          <w:p w:rsidR="001B3357" w:rsidRDefault="001B3357" w:rsidP="001D10F6">
            <w:pPr>
              <w:ind w:left="0" w:firstLine="0"/>
            </w:pPr>
            <w:r>
              <w:t>N/A</w:t>
            </w:r>
          </w:p>
        </w:tc>
      </w:tr>
    </w:tbl>
    <w:p w:rsidR="005D0C06" w:rsidRDefault="001B3357"/>
    <w:sectPr w:rsidR="005D0C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75" w:rsidRDefault="001D10F6">
      <w:pPr>
        <w:spacing w:after="0" w:line="240" w:lineRule="auto"/>
      </w:pPr>
      <w:r>
        <w:separator/>
      </w:r>
    </w:p>
  </w:endnote>
  <w:endnote w:type="continuationSeparator" w:id="0">
    <w:p w:rsidR="00DD1175" w:rsidRDefault="001D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75" w:rsidRDefault="001D10F6">
      <w:pPr>
        <w:spacing w:after="0" w:line="240" w:lineRule="auto"/>
      </w:pPr>
      <w:r>
        <w:separator/>
      </w:r>
    </w:p>
  </w:footnote>
  <w:footnote w:type="continuationSeparator" w:id="0">
    <w:p w:rsidR="00DD1175" w:rsidRDefault="001D1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D10F6">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0875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E10"/>
    <w:multiLevelType w:val="hybridMultilevel"/>
    <w:tmpl w:val="E1589014"/>
    <w:lvl w:ilvl="0" w:tplc="F9909800">
      <w:start w:val="1"/>
      <w:numFmt w:val="lowerRoman"/>
      <w:lvlText w:val="(%1)"/>
      <w:lvlJc w:val="left"/>
      <w:pPr>
        <w:ind w:left="720" w:hanging="360"/>
      </w:pPr>
      <w:rPr>
        <w:rFonts w:ascii="Arial" w:eastAsia="Calibri" w:hAnsi="Arial" w:cs="Arial"/>
      </w:rPr>
    </w:lvl>
    <w:lvl w:ilvl="1" w:tplc="C324EFEC" w:tentative="1">
      <w:start w:val="1"/>
      <w:numFmt w:val="lowerLetter"/>
      <w:lvlText w:val="%2."/>
      <w:lvlJc w:val="left"/>
      <w:pPr>
        <w:ind w:left="1440" w:hanging="360"/>
      </w:pPr>
    </w:lvl>
    <w:lvl w:ilvl="2" w:tplc="F2D80080" w:tentative="1">
      <w:start w:val="1"/>
      <w:numFmt w:val="lowerRoman"/>
      <w:lvlText w:val="%3."/>
      <w:lvlJc w:val="right"/>
      <w:pPr>
        <w:ind w:left="2160" w:hanging="180"/>
      </w:pPr>
    </w:lvl>
    <w:lvl w:ilvl="3" w:tplc="819EF4D6" w:tentative="1">
      <w:start w:val="1"/>
      <w:numFmt w:val="decimal"/>
      <w:lvlText w:val="%4."/>
      <w:lvlJc w:val="left"/>
      <w:pPr>
        <w:ind w:left="2880" w:hanging="360"/>
      </w:pPr>
    </w:lvl>
    <w:lvl w:ilvl="4" w:tplc="528E845C" w:tentative="1">
      <w:start w:val="1"/>
      <w:numFmt w:val="lowerLetter"/>
      <w:lvlText w:val="%5."/>
      <w:lvlJc w:val="left"/>
      <w:pPr>
        <w:ind w:left="3600" w:hanging="360"/>
      </w:pPr>
    </w:lvl>
    <w:lvl w:ilvl="5" w:tplc="209ED1A6" w:tentative="1">
      <w:start w:val="1"/>
      <w:numFmt w:val="lowerRoman"/>
      <w:lvlText w:val="%6."/>
      <w:lvlJc w:val="right"/>
      <w:pPr>
        <w:ind w:left="4320" w:hanging="180"/>
      </w:pPr>
    </w:lvl>
    <w:lvl w:ilvl="6" w:tplc="79262FFC" w:tentative="1">
      <w:start w:val="1"/>
      <w:numFmt w:val="decimal"/>
      <w:lvlText w:val="%7."/>
      <w:lvlJc w:val="left"/>
      <w:pPr>
        <w:ind w:left="5040" w:hanging="360"/>
      </w:pPr>
    </w:lvl>
    <w:lvl w:ilvl="7" w:tplc="64600C10" w:tentative="1">
      <w:start w:val="1"/>
      <w:numFmt w:val="lowerLetter"/>
      <w:lvlText w:val="%8."/>
      <w:lvlJc w:val="left"/>
      <w:pPr>
        <w:ind w:left="5760" w:hanging="360"/>
      </w:pPr>
    </w:lvl>
    <w:lvl w:ilvl="8" w:tplc="11C65F40" w:tentative="1">
      <w:start w:val="1"/>
      <w:numFmt w:val="lowerRoman"/>
      <w:lvlText w:val="%9."/>
      <w:lvlJc w:val="right"/>
      <w:pPr>
        <w:ind w:left="648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503EB22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FF9472E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D04D1B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490169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9F611E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B748C0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EFA40D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4F66841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65452B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68830C1"/>
    <w:multiLevelType w:val="hybridMultilevel"/>
    <w:tmpl w:val="235E11B4"/>
    <w:lvl w:ilvl="0" w:tplc="88F0D9D4">
      <w:start w:val="1"/>
      <w:numFmt w:val="bullet"/>
      <w:lvlText w:val=""/>
      <w:lvlJc w:val="left"/>
      <w:pPr>
        <w:ind w:left="720" w:hanging="360"/>
      </w:pPr>
      <w:rPr>
        <w:rFonts w:ascii="Symbol" w:hAnsi="Symbol" w:hint="default"/>
      </w:rPr>
    </w:lvl>
    <w:lvl w:ilvl="1" w:tplc="4A0651CA" w:tentative="1">
      <w:start w:val="1"/>
      <w:numFmt w:val="bullet"/>
      <w:lvlText w:val="o"/>
      <w:lvlJc w:val="left"/>
      <w:pPr>
        <w:ind w:left="1440" w:hanging="360"/>
      </w:pPr>
      <w:rPr>
        <w:rFonts w:ascii="Courier New" w:hAnsi="Courier New" w:cs="Courier New" w:hint="default"/>
      </w:rPr>
    </w:lvl>
    <w:lvl w:ilvl="2" w:tplc="26226DEE" w:tentative="1">
      <w:start w:val="1"/>
      <w:numFmt w:val="bullet"/>
      <w:lvlText w:val=""/>
      <w:lvlJc w:val="left"/>
      <w:pPr>
        <w:ind w:left="2160" w:hanging="360"/>
      </w:pPr>
      <w:rPr>
        <w:rFonts w:ascii="Wingdings" w:hAnsi="Wingdings" w:hint="default"/>
      </w:rPr>
    </w:lvl>
    <w:lvl w:ilvl="3" w:tplc="A5BEEA0E" w:tentative="1">
      <w:start w:val="1"/>
      <w:numFmt w:val="bullet"/>
      <w:lvlText w:val=""/>
      <w:lvlJc w:val="left"/>
      <w:pPr>
        <w:ind w:left="2880" w:hanging="360"/>
      </w:pPr>
      <w:rPr>
        <w:rFonts w:ascii="Symbol" w:hAnsi="Symbol" w:hint="default"/>
      </w:rPr>
    </w:lvl>
    <w:lvl w:ilvl="4" w:tplc="DCE6DCE0" w:tentative="1">
      <w:start w:val="1"/>
      <w:numFmt w:val="bullet"/>
      <w:lvlText w:val="o"/>
      <w:lvlJc w:val="left"/>
      <w:pPr>
        <w:ind w:left="3600" w:hanging="360"/>
      </w:pPr>
      <w:rPr>
        <w:rFonts w:ascii="Courier New" w:hAnsi="Courier New" w:cs="Courier New" w:hint="default"/>
      </w:rPr>
    </w:lvl>
    <w:lvl w:ilvl="5" w:tplc="13867DA2" w:tentative="1">
      <w:start w:val="1"/>
      <w:numFmt w:val="bullet"/>
      <w:lvlText w:val=""/>
      <w:lvlJc w:val="left"/>
      <w:pPr>
        <w:ind w:left="4320" w:hanging="360"/>
      </w:pPr>
      <w:rPr>
        <w:rFonts w:ascii="Wingdings" w:hAnsi="Wingdings" w:hint="default"/>
      </w:rPr>
    </w:lvl>
    <w:lvl w:ilvl="6" w:tplc="343A246E" w:tentative="1">
      <w:start w:val="1"/>
      <w:numFmt w:val="bullet"/>
      <w:lvlText w:val=""/>
      <w:lvlJc w:val="left"/>
      <w:pPr>
        <w:ind w:left="5040" w:hanging="360"/>
      </w:pPr>
      <w:rPr>
        <w:rFonts w:ascii="Symbol" w:hAnsi="Symbol" w:hint="default"/>
      </w:rPr>
    </w:lvl>
    <w:lvl w:ilvl="7" w:tplc="EB1AC9CC" w:tentative="1">
      <w:start w:val="1"/>
      <w:numFmt w:val="bullet"/>
      <w:lvlText w:val="o"/>
      <w:lvlJc w:val="left"/>
      <w:pPr>
        <w:ind w:left="5760" w:hanging="360"/>
      </w:pPr>
      <w:rPr>
        <w:rFonts w:ascii="Courier New" w:hAnsi="Courier New" w:cs="Courier New" w:hint="default"/>
      </w:rPr>
    </w:lvl>
    <w:lvl w:ilvl="8" w:tplc="2DF8DAF2" w:tentative="1">
      <w:start w:val="1"/>
      <w:numFmt w:val="bullet"/>
      <w:lvlText w:val=""/>
      <w:lvlJc w:val="left"/>
      <w:pPr>
        <w:ind w:left="6480" w:hanging="360"/>
      </w:pPr>
      <w:rPr>
        <w:rFonts w:ascii="Wingdings" w:hAnsi="Wingdings" w:hint="default"/>
      </w:rPr>
    </w:lvl>
  </w:abstractNum>
  <w:abstractNum w:abstractNumId="4" w15:restartNumberingAfterBreak="0">
    <w:nsid w:val="4BB65562"/>
    <w:multiLevelType w:val="hybridMultilevel"/>
    <w:tmpl w:val="9AB210CA"/>
    <w:lvl w:ilvl="0" w:tplc="812AAA32">
      <w:start w:val="1"/>
      <w:numFmt w:val="bullet"/>
      <w:lvlText w:val=""/>
      <w:lvlJc w:val="left"/>
      <w:pPr>
        <w:ind w:left="720" w:hanging="360"/>
      </w:pPr>
      <w:rPr>
        <w:rFonts w:ascii="Symbol" w:hAnsi="Symbol" w:hint="default"/>
      </w:rPr>
    </w:lvl>
    <w:lvl w:ilvl="1" w:tplc="E236B070" w:tentative="1">
      <w:start w:val="1"/>
      <w:numFmt w:val="bullet"/>
      <w:lvlText w:val="o"/>
      <w:lvlJc w:val="left"/>
      <w:pPr>
        <w:ind w:left="1440" w:hanging="360"/>
      </w:pPr>
      <w:rPr>
        <w:rFonts w:ascii="Courier New" w:hAnsi="Courier New" w:cs="Courier New" w:hint="default"/>
      </w:rPr>
    </w:lvl>
    <w:lvl w:ilvl="2" w:tplc="63C04C6C" w:tentative="1">
      <w:start w:val="1"/>
      <w:numFmt w:val="bullet"/>
      <w:lvlText w:val=""/>
      <w:lvlJc w:val="left"/>
      <w:pPr>
        <w:ind w:left="2160" w:hanging="360"/>
      </w:pPr>
      <w:rPr>
        <w:rFonts w:ascii="Wingdings" w:hAnsi="Wingdings" w:hint="default"/>
      </w:rPr>
    </w:lvl>
    <w:lvl w:ilvl="3" w:tplc="4BE64E68" w:tentative="1">
      <w:start w:val="1"/>
      <w:numFmt w:val="bullet"/>
      <w:lvlText w:val=""/>
      <w:lvlJc w:val="left"/>
      <w:pPr>
        <w:ind w:left="2880" w:hanging="360"/>
      </w:pPr>
      <w:rPr>
        <w:rFonts w:ascii="Symbol" w:hAnsi="Symbol" w:hint="default"/>
      </w:rPr>
    </w:lvl>
    <w:lvl w:ilvl="4" w:tplc="495CB9F0" w:tentative="1">
      <w:start w:val="1"/>
      <w:numFmt w:val="bullet"/>
      <w:lvlText w:val="o"/>
      <w:lvlJc w:val="left"/>
      <w:pPr>
        <w:ind w:left="3600" w:hanging="360"/>
      </w:pPr>
      <w:rPr>
        <w:rFonts w:ascii="Courier New" w:hAnsi="Courier New" w:cs="Courier New" w:hint="default"/>
      </w:rPr>
    </w:lvl>
    <w:lvl w:ilvl="5" w:tplc="E53A8484" w:tentative="1">
      <w:start w:val="1"/>
      <w:numFmt w:val="bullet"/>
      <w:lvlText w:val=""/>
      <w:lvlJc w:val="left"/>
      <w:pPr>
        <w:ind w:left="4320" w:hanging="360"/>
      </w:pPr>
      <w:rPr>
        <w:rFonts w:ascii="Wingdings" w:hAnsi="Wingdings" w:hint="default"/>
      </w:rPr>
    </w:lvl>
    <w:lvl w:ilvl="6" w:tplc="3E50FFBA" w:tentative="1">
      <w:start w:val="1"/>
      <w:numFmt w:val="bullet"/>
      <w:lvlText w:val=""/>
      <w:lvlJc w:val="left"/>
      <w:pPr>
        <w:ind w:left="5040" w:hanging="360"/>
      </w:pPr>
      <w:rPr>
        <w:rFonts w:ascii="Symbol" w:hAnsi="Symbol" w:hint="default"/>
      </w:rPr>
    </w:lvl>
    <w:lvl w:ilvl="7" w:tplc="3248423A" w:tentative="1">
      <w:start w:val="1"/>
      <w:numFmt w:val="bullet"/>
      <w:lvlText w:val="o"/>
      <w:lvlJc w:val="left"/>
      <w:pPr>
        <w:ind w:left="5760" w:hanging="360"/>
      </w:pPr>
      <w:rPr>
        <w:rFonts w:ascii="Courier New" w:hAnsi="Courier New" w:cs="Courier New" w:hint="default"/>
      </w:rPr>
    </w:lvl>
    <w:lvl w:ilvl="8" w:tplc="2C6A5340" w:tentative="1">
      <w:start w:val="1"/>
      <w:numFmt w:val="bullet"/>
      <w:lvlText w:val=""/>
      <w:lvlJc w:val="left"/>
      <w:pPr>
        <w:ind w:left="6480" w:hanging="360"/>
      </w:pPr>
      <w:rPr>
        <w:rFonts w:ascii="Wingdings" w:hAnsi="Wingdings" w:hint="default"/>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77334365"/>
    <w:multiLevelType w:val="hybridMultilevel"/>
    <w:tmpl w:val="89DAFFC8"/>
    <w:lvl w:ilvl="0" w:tplc="2E446EBA">
      <w:start w:val="1"/>
      <w:numFmt w:val="bullet"/>
      <w:lvlText w:val=""/>
      <w:lvlJc w:val="left"/>
      <w:pPr>
        <w:ind w:left="720" w:hanging="360"/>
      </w:pPr>
      <w:rPr>
        <w:rFonts w:ascii="Symbol" w:hAnsi="Symbol" w:hint="default"/>
      </w:rPr>
    </w:lvl>
    <w:lvl w:ilvl="1" w:tplc="410E2F52" w:tentative="1">
      <w:start w:val="1"/>
      <w:numFmt w:val="bullet"/>
      <w:lvlText w:val="o"/>
      <w:lvlJc w:val="left"/>
      <w:pPr>
        <w:ind w:left="1440" w:hanging="360"/>
      </w:pPr>
      <w:rPr>
        <w:rFonts w:ascii="Courier New" w:hAnsi="Courier New" w:cs="Courier New" w:hint="default"/>
      </w:rPr>
    </w:lvl>
    <w:lvl w:ilvl="2" w:tplc="A6323806" w:tentative="1">
      <w:start w:val="1"/>
      <w:numFmt w:val="bullet"/>
      <w:lvlText w:val=""/>
      <w:lvlJc w:val="left"/>
      <w:pPr>
        <w:ind w:left="2160" w:hanging="360"/>
      </w:pPr>
      <w:rPr>
        <w:rFonts w:ascii="Wingdings" w:hAnsi="Wingdings" w:hint="default"/>
      </w:rPr>
    </w:lvl>
    <w:lvl w:ilvl="3" w:tplc="C8363AD6" w:tentative="1">
      <w:start w:val="1"/>
      <w:numFmt w:val="bullet"/>
      <w:lvlText w:val=""/>
      <w:lvlJc w:val="left"/>
      <w:pPr>
        <w:ind w:left="2880" w:hanging="360"/>
      </w:pPr>
      <w:rPr>
        <w:rFonts w:ascii="Symbol" w:hAnsi="Symbol" w:hint="default"/>
      </w:rPr>
    </w:lvl>
    <w:lvl w:ilvl="4" w:tplc="AB90545A" w:tentative="1">
      <w:start w:val="1"/>
      <w:numFmt w:val="bullet"/>
      <w:lvlText w:val="o"/>
      <w:lvlJc w:val="left"/>
      <w:pPr>
        <w:ind w:left="3600" w:hanging="360"/>
      </w:pPr>
      <w:rPr>
        <w:rFonts w:ascii="Courier New" w:hAnsi="Courier New" w:cs="Courier New" w:hint="default"/>
      </w:rPr>
    </w:lvl>
    <w:lvl w:ilvl="5" w:tplc="571C39E6" w:tentative="1">
      <w:start w:val="1"/>
      <w:numFmt w:val="bullet"/>
      <w:lvlText w:val=""/>
      <w:lvlJc w:val="left"/>
      <w:pPr>
        <w:ind w:left="4320" w:hanging="360"/>
      </w:pPr>
      <w:rPr>
        <w:rFonts w:ascii="Wingdings" w:hAnsi="Wingdings" w:hint="default"/>
      </w:rPr>
    </w:lvl>
    <w:lvl w:ilvl="6" w:tplc="8C426A82" w:tentative="1">
      <w:start w:val="1"/>
      <w:numFmt w:val="bullet"/>
      <w:lvlText w:val=""/>
      <w:lvlJc w:val="left"/>
      <w:pPr>
        <w:ind w:left="5040" w:hanging="360"/>
      </w:pPr>
      <w:rPr>
        <w:rFonts w:ascii="Symbol" w:hAnsi="Symbol" w:hint="default"/>
      </w:rPr>
    </w:lvl>
    <w:lvl w:ilvl="7" w:tplc="688ADEAE" w:tentative="1">
      <w:start w:val="1"/>
      <w:numFmt w:val="bullet"/>
      <w:lvlText w:val="o"/>
      <w:lvlJc w:val="left"/>
      <w:pPr>
        <w:ind w:left="5760" w:hanging="360"/>
      </w:pPr>
      <w:rPr>
        <w:rFonts w:ascii="Courier New" w:hAnsi="Courier New" w:cs="Courier New" w:hint="default"/>
      </w:rPr>
    </w:lvl>
    <w:lvl w:ilvl="8" w:tplc="439E5E24" w:tentative="1">
      <w:start w:val="1"/>
      <w:numFmt w:val="bullet"/>
      <w:lvlText w:val=""/>
      <w:lvlJc w:val="left"/>
      <w:pPr>
        <w:ind w:left="6480" w:hanging="360"/>
      </w:pPr>
      <w:rPr>
        <w:rFonts w:ascii="Wingdings" w:hAnsi="Wingdings" w:hint="default"/>
      </w:rPr>
    </w:lvl>
  </w:abstractNum>
  <w:abstractNum w:abstractNumId="7" w15:restartNumberingAfterBreak="0">
    <w:nsid w:val="775D7C01"/>
    <w:multiLevelType w:val="multilevel"/>
    <w:tmpl w:val="9FA03BFA"/>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CE"/>
    <w:rsid w:val="001B3357"/>
    <w:rsid w:val="001D10F6"/>
    <w:rsid w:val="00356FCE"/>
    <w:rsid w:val="00DD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D329"/>
  <w15:docId w15:val="{865B842B-A46D-4D61-85C7-6BCD441C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rsid w:val="005D0C06"/>
    <w:rPr>
      <w:rFonts w:asciiTheme="majorHAnsi" w:eastAsiaTheme="majorEastAsia" w:hAnsiTheme="majorHAnsi" w:cstheme="majorBidi"/>
      <w:i/>
      <w:iCs/>
      <w:color w:val="1F4D78" w:themeColor="accent1" w:themeShade="7F"/>
      <w:sz w:val="24"/>
      <w:szCs w:val="24"/>
      <w:lang w:eastAsia="en-GB"/>
    </w:rPr>
  </w:style>
  <w:style w:type="table" w:styleId="TableGrid">
    <w:name w:val="Table Grid"/>
    <w:basedOn w:val="TableNormal"/>
    <w:uiPriority w:val="39"/>
    <w:rsid w:val="00A5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A54"/>
    <w:rPr>
      <w:color w:val="0563C1" w:themeColor="hyperlink"/>
      <w:u w:val="single"/>
    </w:rPr>
  </w:style>
  <w:style w:type="paragraph" w:styleId="BalloonText">
    <w:name w:val="Balloon Text"/>
    <w:basedOn w:val="Normal"/>
    <w:link w:val="BalloonTextChar"/>
    <w:uiPriority w:val="99"/>
    <w:semiHidden/>
    <w:unhideWhenUsed/>
    <w:rsid w:val="0035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0E"/>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est-midlands-local-industrial-strate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00C8-85C0-4294-A532-6716D2DF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2014-12-03T08:17:00Z</dcterms:created>
  <dcterms:modified xsi:type="dcterms:W3CDTF">2019-06-14T12:15:00Z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Lancashire's Local Industrial Strategy</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25 June 2019</vt:lpwstr>
  </property>
</Properties>
</file>